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CC49" w14:textId="0D58A4CE" w:rsidR="007E033C" w:rsidRPr="00AD29DC" w:rsidRDefault="00854CE4" w:rsidP="004760E2">
      <w:pPr>
        <w:jc w:val="center"/>
        <w:rPr>
          <w:rFonts w:ascii="Verdana" w:hAnsi="Verdana"/>
          <w:b/>
          <w:bCs/>
          <w:sz w:val="32"/>
          <w:szCs w:val="32"/>
          <w:lang w:val="en-US"/>
        </w:rPr>
      </w:pPr>
      <w:r w:rsidRPr="00AD29DC">
        <w:rPr>
          <w:rFonts w:ascii="Verdana" w:hAnsi="Verdana"/>
          <w:b/>
          <w:bCs/>
          <w:sz w:val="32"/>
          <w:szCs w:val="32"/>
          <w:lang w:val="en-US"/>
        </w:rPr>
        <w:t>Protocol</w:t>
      </w:r>
    </w:p>
    <w:p w14:paraId="1CB73A78" w14:textId="0332C6D9" w:rsidR="004760E2" w:rsidRPr="00AD29DC" w:rsidRDefault="004760E2" w:rsidP="004760E2">
      <w:pPr>
        <w:jc w:val="center"/>
        <w:rPr>
          <w:rFonts w:ascii="Verdana" w:hAnsi="Verdana"/>
          <w:b/>
          <w:bCs/>
          <w:lang w:val="en-US"/>
        </w:rPr>
      </w:pPr>
      <w:r w:rsidRPr="00AD29DC">
        <w:rPr>
          <w:rFonts w:ascii="Verdana" w:hAnsi="Verdana"/>
          <w:b/>
          <w:bCs/>
          <w:lang w:val="en-US"/>
        </w:rPr>
        <w:t>In vitro serum protein binding assay</w:t>
      </w:r>
      <w:r w:rsidR="000D0904" w:rsidRPr="00AD29DC">
        <w:rPr>
          <w:rFonts w:ascii="Verdana" w:hAnsi="Verdana"/>
          <w:b/>
          <w:bCs/>
          <w:lang w:val="en-US"/>
        </w:rPr>
        <w:t xml:space="preserve"> of small proteins</w:t>
      </w:r>
    </w:p>
    <w:p w14:paraId="44C32527" w14:textId="4C5A209B" w:rsidR="00854CE4" w:rsidRDefault="00854CE4" w:rsidP="00AD29DC">
      <w:pPr>
        <w:jc w:val="both"/>
        <w:rPr>
          <w:rFonts w:ascii="Verdana" w:hAnsi="Verdana"/>
          <w:lang w:val="en-US"/>
        </w:rPr>
      </w:pPr>
    </w:p>
    <w:p w14:paraId="38A1C874" w14:textId="77777777" w:rsidR="00AD29DC" w:rsidRPr="00AD29DC" w:rsidRDefault="00AD29DC" w:rsidP="00AD29DC">
      <w:pPr>
        <w:jc w:val="both"/>
        <w:rPr>
          <w:rFonts w:ascii="Verdana" w:hAnsi="Verdana"/>
          <w:lang w:val="en-US"/>
        </w:rPr>
      </w:pPr>
    </w:p>
    <w:p w14:paraId="613FFBBC" w14:textId="57D7E6C5" w:rsidR="00854CE4" w:rsidRPr="00B94A43" w:rsidRDefault="00AD29DC" w:rsidP="00AD29DC">
      <w:pPr>
        <w:pStyle w:val="ListParagraph"/>
        <w:numPr>
          <w:ilvl w:val="0"/>
          <w:numId w:val="3"/>
        </w:numPr>
        <w:jc w:val="both"/>
        <w:rPr>
          <w:rFonts w:ascii="Verdana" w:hAnsi="Verdana"/>
          <w:b/>
          <w:bCs/>
          <w:lang w:val="en-US"/>
        </w:rPr>
      </w:pPr>
      <w:r w:rsidRPr="00B94A43">
        <w:rPr>
          <w:rFonts w:ascii="Verdana" w:hAnsi="Verdana"/>
          <w:b/>
          <w:bCs/>
          <w:lang w:val="en-US"/>
        </w:rPr>
        <w:t>Aim</w:t>
      </w:r>
    </w:p>
    <w:p w14:paraId="10BCF49A" w14:textId="2DFAC662" w:rsidR="00AD29DC" w:rsidRDefault="00AD29DC" w:rsidP="00AD29DC">
      <w:pPr>
        <w:jc w:val="both"/>
        <w:rPr>
          <w:rFonts w:ascii="Verdana" w:hAnsi="Verdana"/>
          <w:lang w:val="en-US"/>
        </w:rPr>
      </w:pPr>
    </w:p>
    <w:p w14:paraId="0899574D" w14:textId="55919050" w:rsidR="00AD29DC" w:rsidRDefault="00AD29DC" w:rsidP="00AD29DC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Determine whether small proteins interact non-specifically with serum proteins </w:t>
      </w:r>
      <w:r w:rsidRPr="00AD29DC">
        <w:rPr>
          <w:rFonts w:ascii="Verdana" w:hAnsi="Verdana"/>
          <w:i/>
          <w:iCs/>
          <w:lang w:val="en-US"/>
        </w:rPr>
        <w:t>in vitro</w:t>
      </w:r>
      <w:r>
        <w:rPr>
          <w:rFonts w:ascii="Verdana" w:hAnsi="Verdana"/>
          <w:lang w:val="en-US"/>
        </w:rPr>
        <w:t xml:space="preserve"> </w:t>
      </w:r>
      <w:proofErr w:type="gramStart"/>
      <w:r>
        <w:rPr>
          <w:rFonts w:ascii="Verdana" w:hAnsi="Verdana"/>
          <w:lang w:val="en-US"/>
        </w:rPr>
        <w:t>in order to</w:t>
      </w:r>
      <w:proofErr w:type="gramEnd"/>
      <w:r>
        <w:rPr>
          <w:rFonts w:ascii="Verdana" w:hAnsi="Verdana"/>
          <w:lang w:val="en-US"/>
        </w:rPr>
        <w:t xml:space="preserve"> predict an unfavorable biodistribution </w:t>
      </w:r>
      <w:r w:rsidRPr="00AD29DC">
        <w:rPr>
          <w:rFonts w:ascii="Verdana" w:hAnsi="Verdana"/>
          <w:i/>
          <w:iCs/>
          <w:lang w:val="en-US"/>
        </w:rPr>
        <w:t>in vivo</w:t>
      </w:r>
      <w:r>
        <w:rPr>
          <w:rFonts w:ascii="Verdana" w:hAnsi="Verdana"/>
          <w:lang w:val="en-US"/>
        </w:rPr>
        <w:t xml:space="preserve">. </w:t>
      </w:r>
    </w:p>
    <w:p w14:paraId="5AA9A023" w14:textId="77777777" w:rsidR="00AD29DC" w:rsidRPr="00AD29DC" w:rsidRDefault="00AD29DC" w:rsidP="00AD29DC">
      <w:pPr>
        <w:jc w:val="both"/>
        <w:rPr>
          <w:rFonts w:ascii="Verdana" w:hAnsi="Verdana"/>
          <w:lang w:val="en-US"/>
        </w:rPr>
      </w:pPr>
    </w:p>
    <w:p w14:paraId="622CEF7F" w14:textId="4DA51889" w:rsidR="00854CE4" w:rsidRPr="00B94A43" w:rsidRDefault="00854CE4" w:rsidP="00AD29DC">
      <w:pPr>
        <w:pStyle w:val="ListParagraph"/>
        <w:numPr>
          <w:ilvl w:val="0"/>
          <w:numId w:val="3"/>
        </w:numPr>
        <w:jc w:val="both"/>
        <w:rPr>
          <w:rFonts w:ascii="Verdana" w:hAnsi="Verdana"/>
          <w:b/>
          <w:bCs/>
          <w:lang w:val="en-US"/>
        </w:rPr>
      </w:pPr>
      <w:r w:rsidRPr="00B94A43">
        <w:rPr>
          <w:rFonts w:ascii="Verdana" w:hAnsi="Verdana"/>
          <w:b/>
          <w:bCs/>
          <w:lang w:val="en-US"/>
        </w:rPr>
        <w:t>Material</w:t>
      </w:r>
      <w:r w:rsidR="003D2140" w:rsidRPr="00B94A43">
        <w:rPr>
          <w:rFonts w:ascii="Verdana" w:hAnsi="Verdana"/>
          <w:b/>
          <w:bCs/>
          <w:lang w:val="en-US"/>
        </w:rPr>
        <w:t>s</w:t>
      </w:r>
    </w:p>
    <w:p w14:paraId="5DB7210D" w14:textId="557BD7DF" w:rsidR="00AD29DC" w:rsidRDefault="00AD29DC" w:rsidP="00AD29DC">
      <w:pPr>
        <w:jc w:val="both"/>
        <w:rPr>
          <w:rFonts w:ascii="Verdana" w:hAnsi="Verdana"/>
          <w:lang w:val="en-US"/>
        </w:rPr>
      </w:pPr>
    </w:p>
    <w:tbl>
      <w:tblPr>
        <w:tblStyle w:val="TableGrid"/>
        <w:tblW w:w="9855" w:type="dxa"/>
        <w:tblInd w:w="-472" w:type="dxa"/>
        <w:tblLook w:val="04A0" w:firstRow="1" w:lastRow="0" w:firstColumn="1" w:lastColumn="0" w:noHBand="0" w:noVBand="1"/>
      </w:tblPr>
      <w:tblGrid>
        <w:gridCol w:w="3003"/>
        <w:gridCol w:w="3060"/>
        <w:gridCol w:w="3792"/>
      </w:tblGrid>
      <w:tr w:rsidR="003D2140" w:rsidRPr="00F50D57" w14:paraId="05A3AF8A" w14:textId="77777777" w:rsidTr="00F50D57">
        <w:tc>
          <w:tcPr>
            <w:tcW w:w="3003" w:type="dxa"/>
          </w:tcPr>
          <w:p w14:paraId="1D2B10C4" w14:textId="408E4E7F" w:rsidR="00AD29DC" w:rsidRPr="00F50D57" w:rsidRDefault="00AD29DC" w:rsidP="00AD29DC">
            <w:pPr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F50D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3060" w:type="dxa"/>
          </w:tcPr>
          <w:p w14:paraId="182EDFE9" w14:textId="17788B46" w:rsidR="00AD29DC" w:rsidRPr="00F50D57" w:rsidRDefault="00AD29DC" w:rsidP="00AD29DC">
            <w:pPr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F50D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3792" w:type="dxa"/>
          </w:tcPr>
          <w:p w14:paraId="5950A3AB" w14:textId="25DDAB59" w:rsidR="00AD29DC" w:rsidRPr="00F50D57" w:rsidRDefault="00AD29DC" w:rsidP="00AD29DC">
            <w:pPr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F50D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Example </w:t>
            </w:r>
          </w:p>
        </w:tc>
      </w:tr>
      <w:tr w:rsidR="003D2140" w:rsidRPr="003D2140" w14:paraId="43008544" w14:textId="77777777" w:rsidTr="00F50D57">
        <w:tc>
          <w:tcPr>
            <w:tcW w:w="3003" w:type="dxa"/>
          </w:tcPr>
          <w:p w14:paraId="7392017E" w14:textId="738AFD30" w:rsidR="00AD29DC" w:rsidRPr="003D2140" w:rsidRDefault="003D2140" w:rsidP="00AD29D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="00AD29DC" w:rsidRPr="003D2140">
              <w:rPr>
                <w:rFonts w:ascii="Verdana" w:hAnsi="Verdana"/>
                <w:sz w:val="20"/>
                <w:szCs w:val="20"/>
                <w:lang w:val="en-US"/>
              </w:rPr>
              <w:t>mall protein</w:t>
            </w:r>
            <w:r w:rsidR="00056B87">
              <w:rPr>
                <w:rFonts w:ascii="Verdana" w:hAnsi="Verdana"/>
                <w:sz w:val="20"/>
                <w:szCs w:val="20"/>
                <w:lang w:val="en-US"/>
              </w:rPr>
              <w:t xml:space="preserve"> of interest</w:t>
            </w:r>
          </w:p>
        </w:tc>
        <w:tc>
          <w:tcPr>
            <w:tcW w:w="3060" w:type="dxa"/>
          </w:tcPr>
          <w:p w14:paraId="4350401A" w14:textId="4C965216" w:rsidR="00AD29DC" w:rsidRPr="003D2140" w:rsidRDefault="003D2140" w:rsidP="00AD29D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Fluorescently- or radioactively labeled</w:t>
            </w:r>
          </w:p>
        </w:tc>
        <w:tc>
          <w:tcPr>
            <w:tcW w:w="3792" w:type="dxa"/>
          </w:tcPr>
          <w:p w14:paraId="78B7ECB3" w14:textId="670467C6" w:rsidR="00AD29DC" w:rsidRPr="003D2140" w:rsidRDefault="00AD29DC" w:rsidP="00AD29D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3D2140" w:rsidRPr="003D2140" w14:paraId="13C530B8" w14:textId="77777777" w:rsidTr="00F50D57">
        <w:tc>
          <w:tcPr>
            <w:tcW w:w="3003" w:type="dxa"/>
          </w:tcPr>
          <w:p w14:paraId="7FBC5537" w14:textId="01418F17" w:rsidR="00AD29DC" w:rsidRPr="003D2140" w:rsidRDefault="00AD29DC" w:rsidP="00AD29D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D2140">
              <w:rPr>
                <w:rFonts w:ascii="Verdana" w:hAnsi="Verdana"/>
                <w:sz w:val="20"/>
                <w:szCs w:val="20"/>
                <w:lang w:val="en-US"/>
              </w:rPr>
              <w:t>Serum</w:t>
            </w:r>
          </w:p>
        </w:tc>
        <w:tc>
          <w:tcPr>
            <w:tcW w:w="3060" w:type="dxa"/>
          </w:tcPr>
          <w:p w14:paraId="771E10CB" w14:textId="4207E1E2" w:rsidR="00AD29DC" w:rsidRPr="003D2140" w:rsidRDefault="003D2140" w:rsidP="00AD29D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D2140">
              <w:rPr>
                <w:rFonts w:ascii="Verdana" w:hAnsi="Verdana"/>
                <w:sz w:val="20"/>
                <w:szCs w:val="20"/>
                <w:lang w:val="en-US"/>
              </w:rPr>
              <w:t>From h</w:t>
            </w:r>
            <w:r w:rsidR="00AD29DC" w:rsidRPr="003D2140">
              <w:rPr>
                <w:rFonts w:ascii="Verdana" w:hAnsi="Verdana"/>
                <w:sz w:val="20"/>
                <w:szCs w:val="20"/>
                <w:lang w:val="en-US"/>
              </w:rPr>
              <w:t>uman or animal</w:t>
            </w:r>
            <w:r w:rsidRPr="003D2140">
              <w:rPr>
                <w:rFonts w:ascii="Verdana" w:hAnsi="Verdana"/>
                <w:sz w:val="20"/>
                <w:szCs w:val="20"/>
                <w:lang w:val="en-US"/>
              </w:rPr>
              <w:t xml:space="preserve"> origin, depending on the study</w:t>
            </w:r>
            <w:r w:rsidR="00AD29DC" w:rsidRPr="003D21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92" w:type="dxa"/>
          </w:tcPr>
          <w:p w14:paraId="577738A7" w14:textId="6CD36701" w:rsidR="00AD29DC" w:rsidRPr="003D2140" w:rsidRDefault="00056B87" w:rsidP="00AD29D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Merck</w:t>
            </w:r>
          </w:p>
        </w:tc>
      </w:tr>
      <w:tr w:rsidR="003D2140" w:rsidRPr="003D2140" w14:paraId="2F52B732" w14:textId="77777777" w:rsidTr="00F50D57">
        <w:tc>
          <w:tcPr>
            <w:tcW w:w="3003" w:type="dxa"/>
          </w:tcPr>
          <w:p w14:paraId="06054D76" w14:textId="4946366C" w:rsidR="00AD29DC" w:rsidRPr="003D2140" w:rsidRDefault="00AD29DC" w:rsidP="00AD29D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D2140">
              <w:rPr>
                <w:rFonts w:ascii="Verdana" w:hAnsi="Verdana"/>
                <w:sz w:val="20"/>
                <w:szCs w:val="20"/>
                <w:lang w:val="en-US"/>
              </w:rPr>
              <w:t>FPLC system</w:t>
            </w:r>
          </w:p>
        </w:tc>
        <w:tc>
          <w:tcPr>
            <w:tcW w:w="3060" w:type="dxa"/>
          </w:tcPr>
          <w:p w14:paraId="14794D7C" w14:textId="3CB1A62B" w:rsidR="00AD29DC" w:rsidRPr="003D2140" w:rsidRDefault="00056B87" w:rsidP="00AD29D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E</w:t>
            </w:r>
            <w:r w:rsidR="00AD29DC" w:rsidRPr="003D2140">
              <w:rPr>
                <w:rFonts w:ascii="Verdana" w:hAnsi="Verdana"/>
                <w:sz w:val="20"/>
                <w:szCs w:val="20"/>
                <w:lang w:val="en-US"/>
              </w:rPr>
              <w:t xml:space="preserve">quipped with detector measuring absorbance at 280 nm (serum proteins) and absorbance at maximal excitation wavelength of the fluorescent dye or detection of radioactive signals </w:t>
            </w:r>
          </w:p>
        </w:tc>
        <w:tc>
          <w:tcPr>
            <w:tcW w:w="3792" w:type="dxa"/>
          </w:tcPr>
          <w:p w14:paraId="46B85179" w14:textId="77777777" w:rsidR="00AD29DC" w:rsidRPr="003D2140" w:rsidRDefault="00AD29DC" w:rsidP="00AD29D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D2140">
              <w:rPr>
                <w:rFonts w:ascii="Verdana" w:hAnsi="Verdana"/>
                <w:sz w:val="20"/>
                <w:szCs w:val="20"/>
                <w:lang w:val="en-US"/>
              </w:rPr>
              <w:t xml:space="preserve">FPLC: </w:t>
            </w:r>
            <w:r w:rsidRPr="003D2140">
              <w:rPr>
                <w:rFonts w:ascii="Verdana" w:hAnsi="Verdana"/>
                <w:sz w:val="20"/>
                <w:szCs w:val="20"/>
                <w:lang w:val="en-US"/>
              </w:rPr>
              <w:t xml:space="preserve">NGC Chromatography system, </w:t>
            </w:r>
            <w:proofErr w:type="spellStart"/>
            <w:r w:rsidRPr="003D2140">
              <w:rPr>
                <w:rFonts w:ascii="Verdana" w:hAnsi="Verdana"/>
                <w:sz w:val="20"/>
                <w:szCs w:val="20"/>
                <w:lang w:val="en-US"/>
              </w:rPr>
              <w:t>Biorad</w:t>
            </w:r>
            <w:proofErr w:type="spellEnd"/>
          </w:p>
          <w:p w14:paraId="1A1BD5CC" w14:textId="77777777" w:rsidR="00AD29DC" w:rsidRPr="003D2140" w:rsidRDefault="00AD29DC" w:rsidP="00AD29D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C9E4892" w14:textId="70F3A4C3" w:rsidR="00AD29DC" w:rsidRPr="003D2140" w:rsidRDefault="00AD29DC" w:rsidP="00AD29D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D2140">
              <w:rPr>
                <w:rFonts w:ascii="Verdana" w:hAnsi="Verdana"/>
                <w:sz w:val="20"/>
                <w:szCs w:val="20"/>
                <w:lang w:val="en-US"/>
              </w:rPr>
              <w:t xml:space="preserve">Radioactive detector: </w:t>
            </w:r>
            <w:r w:rsidRPr="003D2140">
              <w:rPr>
                <w:rFonts w:ascii="Verdana" w:hAnsi="Verdana"/>
                <w:sz w:val="20"/>
                <w:szCs w:val="20"/>
                <w:lang w:val="en-US"/>
              </w:rPr>
              <w:t>Gabi detector, Elysia-</w:t>
            </w:r>
            <w:proofErr w:type="spellStart"/>
            <w:r w:rsidRPr="003D2140">
              <w:rPr>
                <w:rFonts w:ascii="Verdana" w:hAnsi="Verdana"/>
                <w:sz w:val="20"/>
                <w:szCs w:val="20"/>
                <w:lang w:val="en-US"/>
              </w:rPr>
              <w:t>Raytest</w:t>
            </w:r>
            <w:proofErr w:type="spellEnd"/>
          </w:p>
        </w:tc>
      </w:tr>
      <w:tr w:rsidR="003D2140" w:rsidRPr="003D2140" w14:paraId="689D9743" w14:textId="77777777" w:rsidTr="00F50D57">
        <w:tc>
          <w:tcPr>
            <w:tcW w:w="3003" w:type="dxa"/>
          </w:tcPr>
          <w:p w14:paraId="134ACECF" w14:textId="2C289E23" w:rsidR="00AD29DC" w:rsidRPr="003D2140" w:rsidRDefault="003D2140" w:rsidP="00AD29D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D2140">
              <w:rPr>
                <w:rFonts w:ascii="Verdana" w:hAnsi="Verdana"/>
                <w:sz w:val="20"/>
                <w:szCs w:val="20"/>
                <w:lang w:val="en-US"/>
              </w:rPr>
              <w:t>Size-</w:t>
            </w:r>
            <w:r w:rsidR="00056B87">
              <w:rPr>
                <w:rFonts w:ascii="Verdana" w:hAnsi="Verdana"/>
                <w:sz w:val="20"/>
                <w:szCs w:val="20"/>
                <w:lang w:val="en-US"/>
              </w:rPr>
              <w:t>e</w:t>
            </w:r>
            <w:r w:rsidRPr="003D2140">
              <w:rPr>
                <w:rFonts w:ascii="Verdana" w:hAnsi="Verdana"/>
                <w:sz w:val="20"/>
                <w:szCs w:val="20"/>
                <w:lang w:val="en-US"/>
              </w:rPr>
              <w:t xml:space="preserve">xclusion </w:t>
            </w:r>
            <w:r w:rsidR="00056B87">
              <w:rPr>
                <w:rFonts w:ascii="Verdana" w:hAnsi="Verdana"/>
                <w:sz w:val="20"/>
                <w:szCs w:val="20"/>
                <w:lang w:val="en-US"/>
              </w:rPr>
              <w:t>c</w:t>
            </w:r>
            <w:r w:rsidRPr="003D2140">
              <w:rPr>
                <w:rFonts w:ascii="Verdana" w:hAnsi="Verdana"/>
                <w:sz w:val="20"/>
                <w:szCs w:val="20"/>
                <w:lang w:val="en-US"/>
              </w:rPr>
              <w:t>hromatography column</w:t>
            </w:r>
          </w:p>
        </w:tc>
        <w:tc>
          <w:tcPr>
            <w:tcW w:w="3060" w:type="dxa"/>
          </w:tcPr>
          <w:p w14:paraId="37ECA647" w14:textId="0586F7D0" w:rsidR="00AD29DC" w:rsidRPr="003D2140" w:rsidRDefault="00056B87" w:rsidP="00AD29D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With pore size adequate to </w:t>
            </w:r>
            <w:r w:rsidR="003D2140" w:rsidRPr="003D2140">
              <w:rPr>
                <w:rFonts w:ascii="Verdana" w:hAnsi="Verdana"/>
                <w:sz w:val="20"/>
                <w:szCs w:val="20"/>
                <w:lang w:val="en-US"/>
              </w:rPr>
              <w:t>separate small proteins from serum proteins</w:t>
            </w:r>
          </w:p>
        </w:tc>
        <w:tc>
          <w:tcPr>
            <w:tcW w:w="3792" w:type="dxa"/>
          </w:tcPr>
          <w:p w14:paraId="0CB3CBC9" w14:textId="2227BE1F" w:rsidR="00AD29DC" w:rsidRPr="003D2140" w:rsidRDefault="003D2140" w:rsidP="00AD29D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3D2140">
              <w:rPr>
                <w:rFonts w:ascii="Verdana" w:hAnsi="Verdana"/>
                <w:sz w:val="20"/>
                <w:szCs w:val="20"/>
                <w:lang w:val="en-US"/>
              </w:rPr>
              <w:t>Superdex</w:t>
            </w:r>
            <w:proofErr w:type="spellEnd"/>
            <w:r w:rsidRPr="003D2140">
              <w:rPr>
                <w:rFonts w:ascii="Verdana" w:hAnsi="Verdana"/>
                <w:sz w:val="20"/>
                <w:szCs w:val="20"/>
                <w:lang w:val="en-US"/>
              </w:rPr>
              <w:t xml:space="preserve"> 75 Increase 10/300 GL, </w:t>
            </w:r>
            <w:proofErr w:type="spellStart"/>
            <w:r w:rsidRPr="003D2140">
              <w:rPr>
                <w:rFonts w:ascii="Verdana" w:hAnsi="Verdana"/>
                <w:sz w:val="20"/>
                <w:szCs w:val="20"/>
                <w:lang w:val="en-US"/>
              </w:rPr>
              <w:t>Cytiva</w:t>
            </w:r>
            <w:proofErr w:type="spellEnd"/>
          </w:p>
        </w:tc>
      </w:tr>
      <w:tr w:rsidR="003D2140" w:rsidRPr="003D2140" w14:paraId="4443034B" w14:textId="77777777" w:rsidTr="00F50D57">
        <w:tc>
          <w:tcPr>
            <w:tcW w:w="3003" w:type="dxa"/>
          </w:tcPr>
          <w:p w14:paraId="00C0DCDB" w14:textId="3E655185" w:rsidR="00AD29DC" w:rsidRPr="003D2140" w:rsidRDefault="003D2140" w:rsidP="00AD29D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D2140">
              <w:rPr>
                <w:rFonts w:ascii="Verdana" w:hAnsi="Verdana"/>
                <w:sz w:val="20"/>
                <w:szCs w:val="20"/>
                <w:lang w:val="en-US"/>
              </w:rPr>
              <w:t>Running buffer</w:t>
            </w:r>
          </w:p>
        </w:tc>
        <w:tc>
          <w:tcPr>
            <w:tcW w:w="3060" w:type="dxa"/>
          </w:tcPr>
          <w:p w14:paraId="01E5662D" w14:textId="6190CB26" w:rsidR="00AD29DC" w:rsidRPr="003D2140" w:rsidRDefault="003D2140" w:rsidP="00AD29D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Compatible with serum proteins and compound of interest</w:t>
            </w:r>
          </w:p>
        </w:tc>
        <w:tc>
          <w:tcPr>
            <w:tcW w:w="3792" w:type="dxa"/>
          </w:tcPr>
          <w:p w14:paraId="588D6AB2" w14:textId="47737429" w:rsidR="00AD29DC" w:rsidRPr="003D2140" w:rsidRDefault="003D2140" w:rsidP="00AD29D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D2140">
              <w:rPr>
                <w:rFonts w:ascii="Verdana" w:hAnsi="Verdana"/>
                <w:sz w:val="20"/>
                <w:szCs w:val="20"/>
                <w:lang w:val="en-US"/>
              </w:rPr>
              <w:t>PBS</w:t>
            </w:r>
          </w:p>
        </w:tc>
      </w:tr>
      <w:tr w:rsidR="003D2140" w:rsidRPr="003D2140" w14:paraId="3C91A8B9" w14:textId="77777777" w:rsidTr="00F50D57">
        <w:tc>
          <w:tcPr>
            <w:tcW w:w="3003" w:type="dxa"/>
          </w:tcPr>
          <w:p w14:paraId="59E2308E" w14:textId="4F5FF673" w:rsidR="00AD29DC" w:rsidRPr="003D2140" w:rsidRDefault="003D2140" w:rsidP="00AD29D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D2140">
              <w:rPr>
                <w:rFonts w:ascii="Verdana" w:hAnsi="Verdana"/>
                <w:sz w:val="20"/>
                <w:szCs w:val="20"/>
                <w:lang w:val="en-US"/>
              </w:rPr>
              <w:t>Small lab consumables</w:t>
            </w:r>
          </w:p>
        </w:tc>
        <w:tc>
          <w:tcPr>
            <w:tcW w:w="3060" w:type="dxa"/>
          </w:tcPr>
          <w:p w14:paraId="556DAF65" w14:textId="189E9D33" w:rsidR="00AD29DC" w:rsidRPr="003D2140" w:rsidRDefault="003D2140" w:rsidP="00AD29D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D2140">
              <w:rPr>
                <w:rFonts w:ascii="Verdana" w:hAnsi="Verdana"/>
                <w:sz w:val="20"/>
                <w:szCs w:val="20"/>
                <w:lang w:val="en-US"/>
              </w:rPr>
              <w:t>Pipets, tips, vials, injection needles, syringes, 0.22 µm syringe filters</w:t>
            </w:r>
          </w:p>
        </w:tc>
        <w:tc>
          <w:tcPr>
            <w:tcW w:w="3792" w:type="dxa"/>
          </w:tcPr>
          <w:p w14:paraId="6BEEA089" w14:textId="77777777" w:rsidR="00AD29DC" w:rsidRPr="003D2140" w:rsidRDefault="00AD29DC" w:rsidP="00AD29D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0B157249" w14:textId="77777777" w:rsidR="00AD29DC" w:rsidRPr="003D2140" w:rsidRDefault="00AD29DC" w:rsidP="00AD29DC">
      <w:pPr>
        <w:jc w:val="both"/>
        <w:rPr>
          <w:rFonts w:ascii="Verdana" w:hAnsi="Verdana"/>
          <w:sz w:val="20"/>
          <w:szCs w:val="20"/>
          <w:lang w:val="en-US"/>
        </w:rPr>
      </w:pPr>
    </w:p>
    <w:p w14:paraId="1D704673" w14:textId="77777777" w:rsidR="00854CE4" w:rsidRPr="003D2140" w:rsidRDefault="00854CE4" w:rsidP="00AD29DC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n-US"/>
        </w:rPr>
      </w:pPr>
    </w:p>
    <w:p w14:paraId="22BE3AE7" w14:textId="77777777" w:rsidR="003D2140" w:rsidRPr="00B94A43" w:rsidRDefault="003D2140" w:rsidP="003D2140">
      <w:pPr>
        <w:pStyle w:val="ListParagraph"/>
        <w:numPr>
          <w:ilvl w:val="0"/>
          <w:numId w:val="3"/>
        </w:numPr>
        <w:jc w:val="both"/>
        <w:rPr>
          <w:rFonts w:ascii="Verdana" w:hAnsi="Verdana"/>
          <w:b/>
          <w:bCs/>
          <w:lang w:val="en-US"/>
        </w:rPr>
      </w:pPr>
      <w:r w:rsidRPr="00B94A43">
        <w:rPr>
          <w:rFonts w:ascii="Verdana" w:hAnsi="Verdana"/>
          <w:b/>
          <w:bCs/>
          <w:lang w:val="en-US"/>
        </w:rPr>
        <w:t>Method</w:t>
      </w:r>
    </w:p>
    <w:p w14:paraId="3360F0F6" w14:textId="52CAEB39" w:rsidR="003D2140" w:rsidRDefault="003D2140" w:rsidP="003D2140">
      <w:pPr>
        <w:jc w:val="both"/>
        <w:rPr>
          <w:rFonts w:ascii="Verdana" w:hAnsi="Verdana"/>
          <w:lang w:val="en-US"/>
        </w:rPr>
      </w:pPr>
    </w:p>
    <w:p w14:paraId="4DAED5E7" w14:textId="1BF36CA3" w:rsidR="003D2140" w:rsidRDefault="005F3DE5" w:rsidP="003D2140">
      <w:pPr>
        <w:pStyle w:val="ListParagraph"/>
        <w:numPr>
          <w:ilvl w:val="0"/>
          <w:numId w:val="1"/>
        </w:num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Add</w:t>
      </w:r>
      <w:r w:rsidR="003D2140">
        <w:rPr>
          <w:rFonts w:ascii="Verdana" w:hAnsi="Verdana"/>
          <w:lang w:val="en-US"/>
        </w:rPr>
        <w:t xml:space="preserve"> 50 </w:t>
      </w:r>
      <w:r>
        <w:rPr>
          <w:rFonts w:ascii="Verdana" w:hAnsi="Verdana"/>
          <w:lang w:val="en-US"/>
        </w:rPr>
        <w:t xml:space="preserve">µL </w:t>
      </w:r>
      <w:r w:rsidR="003D2140">
        <w:rPr>
          <w:rFonts w:ascii="Verdana" w:hAnsi="Verdana"/>
          <w:lang w:val="en-US"/>
        </w:rPr>
        <w:t>of fluorescent</w:t>
      </w:r>
      <w:r w:rsidR="00F50D57">
        <w:rPr>
          <w:rFonts w:ascii="Verdana" w:hAnsi="Verdana"/>
          <w:lang w:val="en-US"/>
        </w:rPr>
        <w:t>ly</w:t>
      </w:r>
      <w:r w:rsidR="003D2140">
        <w:rPr>
          <w:rFonts w:ascii="Verdana" w:hAnsi="Verdana"/>
          <w:lang w:val="en-US"/>
        </w:rPr>
        <w:t xml:space="preserve">- or radiolabeled protein </w:t>
      </w:r>
      <w:r>
        <w:rPr>
          <w:rFonts w:ascii="Verdana" w:hAnsi="Verdana"/>
          <w:lang w:val="en-US"/>
        </w:rPr>
        <w:t xml:space="preserve">(concentration typically between 0.1 and 1 mg/mL) </w:t>
      </w:r>
      <w:r w:rsidR="00056B87">
        <w:rPr>
          <w:rFonts w:ascii="Verdana" w:hAnsi="Verdana"/>
          <w:lang w:val="en-US"/>
        </w:rPr>
        <w:t>to</w:t>
      </w:r>
      <w:r w:rsidR="003D2140">
        <w:rPr>
          <w:rFonts w:ascii="Verdana" w:hAnsi="Verdana"/>
          <w:lang w:val="en-US"/>
        </w:rPr>
        <w:t xml:space="preserve"> 200 µl </w:t>
      </w:r>
      <w:r>
        <w:rPr>
          <w:rFonts w:ascii="Verdana" w:hAnsi="Verdana"/>
          <w:lang w:val="en-US"/>
        </w:rPr>
        <w:t>of serum.</w:t>
      </w:r>
    </w:p>
    <w:p w14:paraId="4D8295E0" w14:textId="1768BB00" w:rsidR="005F3DE5" w:rsidRDefault="005F3DE5" w:rsidP="003D2140">
      <w:pPr>
        <w:pStyle w:val="ListParagraph"/>
        <w:numPr>
          <w:ilvl w:val="0"/>
          <w:numId w:val="1"/>
        </w:num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Incubate </w:t>
      </w:r>
      <w:r w:rsidR="00F50D57">
        <w:rPr>
          <w:rFonts w:ascii="Verdana" w:hAnsi="Verdana"/>
          <w:lang w:val="en-US"/>
        </w:rPr>
        <w:t xml:space="preserve">the sample at 37°C for a chosen </w:t>
      </w:r>
      <w:proofErr w:type="gramStart"/>
      <w:r w:rsidR="00F50D57">
        <w:rPr>
          <w:rFonts w:ascii="Verdana" w:hAnsi="Verdana"/>
          <w:lang w:val="en-US"/>
        </w:rPr>
        <w:t>period of time</w:t>
      </w:r>
      <w:proofErr w:type="gramEnd"/>
      <w:r w:rsidR="00F50D57">
        <w:rPr>
          <w:rFonts w:ascii="Verdana" w:hAnsi="Verdana"/>
          <w:lang w:val="en-US"/>
        </w:rPr>
        <w:t xml:space="preserve"> (15-60 min to assess serum protein binding.</w:t>
      </w:r>
    </w:p>
    <w:p w14:paraId="52705322" w14:textId="5964CC0C" w:rsidR="00F50D57" w:rsidRDefault="00F50D57" w:rsidP="003D2140">
      <w:pPr>
        <w:pStyle w:val="ListParagraph"/>
        <w:numPr>
          <w:ilvl w:val="0"/>
          <w:numId w:val="1"/>
        </w:num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Filter the sample with a syringe filter</w:t>
      </w:r>
    </w:p>
    <w:p w14:paraId="236CE69E" w14:textId="31CBEF77" w:rsidR="00F50D57" w:rsidRDefault="00F50D57" w:rsidP="003D2140">
      <w:pPr>
        <w:pStyle w:val="ListParagraph"/>
        <w:numPr>
          <w:ilvl w:val="0"/>
          <w:numId w:val="1"/>
        </w:num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Analyze the sample via size-exclusion chromatography. Serum proteins </w:t>
      </w:r>
      <w:r w:rsidR="00056B87">
        <w:rPr>
          <w:rFonts w:ascii="Verdana" w:hAnsi="Verdana"/>
          <w:lang w:val="en-US"/>
        </w:rPr>
        <w:t>are</w:t>
      </w:r>
      <w:r>
        <w:rPr>
          <w:rFonts w:ascii="Verdana" w:hAnsi="Verdana"/>
          <w:lang w:val="en-US"/>
        </w:rPr>
        <w:t xml:space="preserve"> detected via absorbance at 280 nm; the fluorescently- or radioactively labeled protein </w:t>
      </w:r>
      <w:r w:rsidR="00745EB2">
        <w:rPr>
          <w:rFonts w:ascii="Verdana" w:hAnsi="Verdana"/>
          <w:lang w:val="en-US"/>
        </w:rPr>
        <w:t xml:space="preserve">via absorbance at the maximal excitation wavelength of the fluorescent dye, or via its radioactive signal. </w:t>
      </w:r>
    </w:p>
    <w:p w14:paraId="26D36C28" w14:textId="77777777" w:rsidR="00B94A43" w:rsidRDefault="00745EB2" w:rsidP="003D2140">
      <w:pPr>
        <w:pStyle w:val="ListParagraph"/>
        <w:numPr>
          <w:ilvl w:val="0"/>
          <w:numId w:val="1"/>
        </w:num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Compare the retention time of the compound of interest after incubation with the serum proteins, with the </w:t>
      </w:r>
      <w:r w:rsidR="00F052DD">
        <w:rPr>
          <w:rFonts w:ascii="Verdana" w:hAnsi="Verdana"/>
          <w:lang w:val="en-US"/>
        </w:rPr>
        <w:t xml:space="preserve">reference </w:t>
      </w:r>
      <w:r>
        <w:rPr>
          <w:rFonts w:ascii="Verdana" w:hAnsi="Verdana"/>
          <w:lang w:val="en-US"/>
        </w:rPr>
        <w:t xml:space="preserve">retention time of the compound </w:t>
      </w:r>
      <w:r w:rsidR="00F052DD">
        <w:rPr>
          <w:rFonts w:ascii="Verdana" w:hAnsi="Verdana"/>
          <w:lang w:val="en-US"/>
        </w:rPr>
        <w:t>(</w:t>
      </w:r>
      <w:proofErr w:type="gramStart"/>
      <w:r w:rsidR="00B94A43">
        <w:rPr>
          <w:rFonts w:ascii="Verdana" w:hAnsi="Verdana"/>
          <w:lang w:val="en-US"/>
        </w:rPr>
        <w:t>i.e.</w:t>
      </w:r>
      <w:proofErr w:type="gramEnd"/>
      <w:r w:rsidR="00F052DD">
        <w:rPr>
          <w:rFonts w:ascii="Verdana" w:hAnsi="Verdana"/>
          <w:lang w:val="en-US"/>
        </w:rPr>
        <w:t xml:space="preserve"> when not incubated with serum proteins). </w:t>
      </w:r>
    </w:p>
    <w:p w14:paraId="3457A1C5" w14:textId="0E7F9520" w:rsidR="00745EB2" w:rsidRDefault="00745EB2" w:rsidP="003D2140">
      <w:pPr>
        <w:pStyle w:val="ListParagraph"/>
        <w:numPr>
          <w:ilvl w:val="0"/>
          <w:numId w:val="1"/>
        </w:num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lastRenderedPageBreak/>
        <w:t xml:space="preserve">If a significant </w:t>
      </w:r>
      <w:r w:rsidR="00F052DD">
        <w:rPr>
          <w:rFonts w:ascii="Verdana" w:hAnsi="Verdana"/>
          <w:lang w:val="en-US"/>
        </w:rPr>
        <w:t>left-</w:t>
      </w:r>
      <w:r>
        <w:rPr>
          <w:rFonts w:ascii="Verdana" w:hAnsi="Verdana"/>
          <w:lang w:val="en-US"/>
        </w:rPr>
        <w:t xml:space="preserve">shift of the fluorescent </w:t>
      </w:r>
      <w:r w:rsidR="00F052DD">
        <w:rPr>
          <w:rFonts w:ascii="Verdana" w:hAnsi="Verdana"/>
          <w:lang w:val="en-US"/>
        </w:rPr>
        <w:t>or radioactive signal</w:t>
      </w:r>
      <w:r>
        <w:rPr>
          <w:rFonts w:ascii="Verdana" w:hAnsi="Verdana"/>
          <w:lang w:val="en-US"/>
        </w:rPr>
        <w:t xml:space="preserve">, overlapping with </w:t>
      </w:r>
      <w:r w:rsidR="00F052DD">
        <w:rPr>
          <w:rFonts w:ascii="Verdana" w:hAnsi="Verdana"/>
          <w:lang w:val="en-US"/>
        </w:rPr>
        <w:t xml:space="preserve">the signal of the serum proteins is observed, </w:t>
      </w:r>
      <w:r w:rsidR="00B94A43">
        <w:rPr>
          <w:rFonts w:ascii="Verdana" w:hAnsi="Verdana"/>
          <w:lang w:val="en-US"/>
        </w:rPr>
        <w:t>it</w:t>
      </w:r>
      <w:r w:rsidR="00F052DD">
        <w:rPr>
          <w:rFonts w:ascii="Verdana" w:hAnsi="Verdana"/>
          <w:lang w:val="en-US"/>
        </w:rPr>
        <w:t xml:space="preserve"> can </w:t>
      </w:r>
      <w:r w:rsidR="00B94A43">
        <w:rPr>
          <w:rFonts w:ascii="Verdana" w:hAnsi="Verdana"/>
          <w:lang w:val="en-US"/>
        </w:rPr>
        <w:t xml:space="preserve">be </w:t>
      </w:r>
      <w:r w:rsidR="00F052DD">
        <w:rPr>
          <w:rFonts w:ascii="Verdana" w:hAnsi="Verdana"/>
          <w:lang w:val="en-US"/>
        </w:rPr>
        <w:t>conclude</w:t>
      </w:r>
      <w:r w:rsidR="00056B87">
        <w:rPr>
          <w:rFonts w:ascii="Verdana" w:hAnsi="Verdana"/>
          <w:lang w:val="en-US"/>
        </w:rPr>
        <w:t>d</w:t>
      </w:r>
      <w:r w:rsidR="00F052DD">
        <w:rPr>
          <w:rFonts w:ascii="Verdana" w:hAnsi="Verdana"/>
          <w:lang w:val="en-US"/>
        </w:rPr>
        <w:t xml:space="preserve"> that the compound </w:t>
      </w:r>
      <w:r w:rsidR="00056B87">
        <w:rPr>
          <w:rFonts w:ascii="Verdana" w:hAnsi="Verdana"/>
          <w:lang w:val="en-US"/>
        </w:rPr>
        <w:t xml:space="preserve">of interest </w:t>
      </w:r>
      <w:r w:rsidR="00F052DD">
        <w:rPr>
          <w:rFonts w:ascii="Verdana" w:hAnsi="Verdana"/>
          <w:lang w:val="en-US"/>
        </w:rPr>
        <w:t xml:space="preserve">binds to serum proteins. </w:t>
      </w:r>
    </w:p>
    <w:p w14:paraId="7DB7BEB0" w14:textId="77777777" w:rsidR="00B94A43" w:rsidRDefault="00B94A43" w:rsidP="00B94A43">
      <w:pPr>
        <w:jc w:val="both"/>
        <w:rPr>
          <w:rFonts w:ascii="Verdana" w:hAnsi="Verdana"/>
          <w:lang w:val="en-US"/>
        </w:rPr>
      </w:pPr>
    </w:p>
    <w:p w14:paraId="2DC872E9" w14:textId="77777777" w:rsidR="00B94A43" w:rsidRPr="00B94A43" w:rsidRDefault="00B94A43" w:rsidP="00B94A43">
      <w:pPr>
        <w:pStyle w:val="ListParagraph"/>
        <w:numPr>
          <w:ilvl w:val="0"/>
          <w:numId w:val="3"/>
        </w:numPr>
        <w:jc w:val="both"/>
        <w:rPr>
          <w:rFonts w:ascii="Verdana" w:hAnsi="Verdana"/>
          <w:b/>
          <w:bCs/>
          <w:lang w:val="en-US"/>
        </w:rPr>
      </w:pPr>
      <w:r w:rsidRPr="00B94A43">
        <w:rPr>
          <w:rFonts w:ascii="Verdana" w:hAnsi="Verdana"/>
          <w:b/>
          <w:bCs/>
          <w:lang w:val="en-US"/>
        </w:rPr>
        <w:t xml:space="preserve">Conclusions: </w:t>
      </w:r>
    </w:p>
    <w:p w14:paraId="0F341BB0" w14:textId="77777777" w:rsidR="00B94A43" w:rsidRPr="00B94A43" w:rsidRDefault="00B94A43" w:rsidP="00B94A43">
      <w:pPr>
        <w:ind w:left="360"/>
        <w:jc w:val="both"/>
        <w:rPr>
          <w:rFonts w:ascii="Verdana" w:hAnsi="Verdana"/>
          <w:lang w:val="en-US"/>
        </w:rPr>
      </w:pPr>
    </w:p>
    <w:p w14:paraId="65D45929" w14:textId="27DAB309" w:rsidR="00745EB2" w:rsidRPr="00745EB2" w:rsidRDefault="00F052DD" w:rsidP="00745EB2">
      <w:pPr>
        <w:jc w:val="both"/>
        <w:rPr>
          <w:rFonts w:ascii="Verdana" w:hAnsi="Verdana"/>
          <w:lang w:val="en-US"/>
        </w:rPr>
      </w:pPr>
      <w:r w:rsidRPr="00B94A43">
        <w:rPr>
          <w:rFonts w:ascii="Verdana" w:hAnsi="Verdana"/>
          <w:lang w:val="en-US"/>
        </w:rPr>
        <w:t>Serum protein binding can significantly affect the pharmacokinetics of small proteins. If this is not warranted</w:t>
      </w:r>
      <w:r w:rsidR="00B94A43">
        <w:rPr>
          <w:rFonts w:ascii="Verdana" w:hAnsi="Verdana"/>
          <w:lang w:val="en-US"/>
        </w:rPr>
        <w:t xml:space="preserve"> for future applications</w:t>
      </w:r>
      <w:r w:rsidRPr="00B94A43">
        <w:rPr>
          <w:rFonts w:ascii="Verdana" w:hAnsi="Verdana"/>
          <w:lang w:val="en-US"/>
        </w:rPr>
        <w:t xml:space="preserve">, compounds that exhibit serum protein should not be further selected for </w:t>
      </w:r>
      <w:r w:rsidRPr="00B94A43">
        <w:rPr>
          <w:rFonts w:ascii="Verdana" w:hAnsi="Verdana"/>
          <w:i/>
          <w:iCs/>
          <w:lang w:val="en-US"/>
        </w:rPr>
        <w:t>in vivo</w:t>
      </w:r>
      <w:r w:rsidRPr="00B94A43">
        <w:rPr>
          <w:rFonts w:ascii="Verdana" w:hAnsi="Verdana"/>
          <w:lang w:val="en-US"/>
        </w:rPr>
        <w:t xml:space="preserve"> assessment because this is associated with non-specific uptake, particularly in the liver. </w:t>
      </w:r>
    </w:p>
    <w:p w14:paraId="54FF74E9" w14:textId="77777777" w:rsidR="003D2140" w:rsidRDefault="003D2140" w:rsidP="003D2140">
      <w:pPr>
        <w:jc w:val="both"/>
        <w:rPr>
          <w:rFonts w:ascii="Verdana" w:hAnsi="Verdana"/>
          <w:lang w:val="en-US"/>
        </w:rPr>
      </w:pPr>
    </w:p>
    <w:p w14:paraId="4C11745A" w14:textId="363D7B9D" w:rsidR="00854CE4" w:rsidRDefault="003D2140" w:rsidP="003D2140">
      <w:pPr>
        <w:pStyle w:val="ListParagraph"/>
        <w:numPr>
          <w:ilvl w:val="0"/>
          <w:numId w:val="3"/>
        </w:numPr>
        <w:jc w:val="both"/>
        <w:rPr>
          <w:rFonts w:ascii="Verdana" w:hAnsi="Verdana"/>
          <w:b/>
          <w:bCs/>
          <w:lang w:val="en-US"/>
        </w:rPr>
      </w:pPr>
      <w:r w:rsidRPr="00B94A43">
        <w:rPr>
          <w:rFonts w:ascii="Verdana" w:hAnsi="Verdana"/>
          <w:b/>
          <w:bCs/>
          <w:lang w:val="en-US"/>
        </w:rPr>
        <w:t>Example</w:t>
      </w:r>
    </w:p>
    <w:p w14:paraId="035AB578" w14:textId="49F07A1C" w:rsidR="00B94A43" w:rsidRPr="00B94A43" w:rsidRDefault="00B94A43" w:rsidP="00B94A43">
      <w:pPr>
        <w:rPr>
          <w:lang w:val="en-US"/>
        </w:rPr>
      </w:pPr>
    </w:p>
    <w:p w14:paraId="10357720" w14:textId="33EC2650" w:rsidR="00B94A43" w:rsidRDefault="00B94A43" w:rsidP="00827248">
      <w:pPr>
        <w:jc w:val="both"/>
        <w:rPr>
          <w:rFonts w:ascii="Verdana" w:hAnsi="Verdana"/>
          <w:lang w:val="en-US"/>
        </w:rPr>
      </w:pPr>
      <w:r w:rsidRPr="00827248">
        <w:rPr>
          <w:rFonts w:ascii="Verdana" w:hAnsi="Verdana"/>
          <w:lang w:val="en-US"/>
        </w:rPr>
        <w:t xml:space="preserve">In </w:t>
      </w:r>
      <w:r w:rsidR="002D0567">
        <w:rPr>
          <w:rFonts w:ascii="Verdana" w:hAnsi="Verdana"/>
          <w:lang w:val="en-US"/>
        </w:rPr>
        <w:t>this</w:t>
      </w:r>
      <w:r w:rsidRPr="00827248">
        <w:rPr>
          <w:rFonts w:ascii="Verdana" w:hAnsi="Verdana"/>
          <w:lang w:val="en-US"/>
        </w:rPr>
        <w:t xml:space="preserve"> example, we investigated the biodistribution of </w:t>
      </w:r>
      <w:proofErr w:type="gramStart"/>
      <w:r w:rsidRPr="00827248">
        <w:rPr>
          <w:rFonts w:ascii="Verdana" w:hAnsi="Verdana"/>
          <w:lang w:val="en-US"/>
        </w:rPr>
        <w:t>fluorescently-labeled</w:t>
      </w:r>
      <w:proofErr w:type="gramEnd"/>
      <w:r w:rsidRPr="00827248">
        <w:rPr>
          <w:rFonts w:ascii="Verdana" w:hAnsi="Verdana"/>
          <w:lang w:val="en-US"/>
        </w:rPr>
        <w:t xml:space="preserve"> Nanobodies</w:t>
      </w:r>
      <w:r w:rsidR="00321087">
        <w:rPr>
          <w:rFonts w:ascii="Verdana" w:hAnsi="Verdana"/>
          <w:lang w:val="en-US"/>
        </w:rPr>
        <w:t xml:space="preserve"> (Nb)</w:t>
      </w:r>
      <w:r w:rsidRPr="00827248">
        <w:rPr>
          <w:rFonts w:ascii="Verdana" w:hAnsi="Verdana"/>
          <w:lang w:val="en-US"/>
        </w:rPr>
        <w:t xml:space="preserve"> </w:t>
      </w:r>
      <w:r w:rsidR="00827248" w:rsidRPr="00827248">
        <w:rPr>
          <w:rFonts w:ascii="Verdana" w:hAnsi="Verdana"/>
          <w:lang w:val="en-US"/>
        </w:rPr>
        <w:t xml:space="preserve">that could be used as tools to non-invasively visualize tumor biomarkers in vivo (e.g. </w:t>
      </w:r>
      <w:r w:rsidR="00321087">
        <w:rPr>
          <w:rFonts w:ascii="Verdana" w:hAnsi="Verdana"/>
          <w:lang w:val="en-US"/>
        </w:rPr>
        <w:t>for application in</w:t>
      </w:r>
      <w:r w:rsidR="00827248" w:rsidRPr="00827248">
        <w:rPr>
          <w:rFonts w:ascii="Verdana" w:hAnsi="Verdana"/>
          <w:lang w:val="en-US"/>
        </w:rPr>
        <w:t xml:space="preserve"> image-guided surgery). The </w:t>
      </w:r>
      <w:proofErr w:type="spellStart"/>
      <w:r w:rsidR="00321087">
        <w:rPr>
          <w:rFonts w:ascii="Verdana" w:hAnsi="Verdana"/>
          <w:lang w:val="en-US"/>
        </w:rPr>
        <w:t>Nbs</w:t>
      </w:r>
      <w:proofErr w:type="spellEnd"/>
      <w:r w:rsidR="00827248" w:rsidRPr="00827248">
        <w:rPr>
          <w:rFonts w:ascii="Verdana" w:hAnsi="Verdana"/>
          <w:lang w:val="en-US"/>
        </w:rPr>
        <w:t xml:space="preserve"> were labeled with 3 different fluorescent dyes with different physicochemical properties</w:t>
      </w:r>
      <w:r w:rsidR="00321087">
        <w:rPr>
          <w:rFonts w:ascii="Verdana" w:hAnsi="Verdana"/>
          <w:lang w:val="en-US"/>
        </w:rPr>
        <w:t xml:space="preserve"> (dye</w:t>
      </w:r>
      <w:r w:rsidR="00056B87">
        <w:rPr>
          <w:rFonts w:ascii="Verdana" w:hAnsi="Verdana"/>
          <w:lang w:val="en-US"/>
        </w:rPr>
        <w:t xml:space="preserve"> </w:t>
      </w:r>
      <w:r w:rsidR="00321087">
        <w:rPr>
          <w:rFonts w:ascii="Verdana" w:hAnsi="Verdana"/>
          <w:lang w:val="en-US"/>
        </w:rPr>
        <w:t>A, B, C).</w:t>
      </w:r>
    </w:p>
    <w:p w14:paraId="07511E4B" w14:textId="4E03D227" w:rsidR="00321087" w:rsidRDefault="00321087" w:rsidP="00827248">
      <w:pPr>
        <w:jc w:val="both"/>
        <w:rPr>
          <w:rFonts w:ascii="Verdana" w:hAnsi="Verdana"/>
          <w:lang w:val="en-US"/>
        </w:rPr>
      </w:pPr>
    </w:p>
    <w:p w14:paraId="423978EC" w14:textId="12DF3075" w:rsidR="004F6AA8" w:rsidRPr="002D0567" w:rsidRDefault="004F6AA8" w:rsidP="004F6AA8">
      <w:pPr>
        <w:pStyle w:val="MDPI31text"/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</w:pPr>
      <w:r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The biodistribution profile of </w:t>
      </w:r>
      <w:r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Nb-</w:t>
      </w:r>
      <w:proofErr w:type="spellStart"/>
      <w:r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DyeA</w:t>
      </w:r>
      <w:proofErr w:type="spellEnd"/>
      <w:r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, -B and -C </w:t>
      </w:r>
      <w:r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at 1</w:t>
      </w:r>
      <w:r w:rsidR="002D0567"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 </w:t>
      </w:r>
      <w:r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hour after </w:t>
      </w:r>
      <w:r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intravenous </w:t>
      </w:r>
      <w:r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injection </w:t>
      </w:r>
      <w:r w:rsidR="00AB1B8C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is</w:t>
      </w:r>
      <w:r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 </w:t>
      </w:r>
      <w:r w:rsidR="002D0567"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shown</w:t>
      </w:r>
      <w:r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 </w:t>
      </w:r>
      <w:r w:rsidR="002D0567"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in</w:t>
      </w:r>
      <w:r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 Fig</w:t>
      </w:r>
      <w:r w:rsidR="002D0567"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ure</w:t>
      </w:r>
      <w:r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 </w:t>
      </w:r>
      <w:r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1. </w:t>
      </w:r>
      <w:r w:rsidR="00AB1B8C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For all compounds, signals in the k</w:t>
      </w:r>
      <w:r w:rsidR="00AB1B8C"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idneys and bladder are the most pronounced</w:t>
      </w:r>
      <w:r w:rsidR="00AB1B8C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. As compared to Nb-</w:t>
      </w:r>
      <w:proofErr w:type="spellStart"/>
      <w:r w:rsidR="00AB1B8C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DyeA</w:t>
      </w:r>
      <w:proofErr w:type="spellEnd"/>
      <w:r w:rsidR="00AB1B8C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 and -</w:t>
      </w:r>
      <w:proofErr w:type="spellStart"/>
      <w:r w:rsidR="00AB1B8C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DyeC</w:t>
      </w:r>
      <w:proofErr w:type="spellEnd"/>
      <w:r w:rsidR="00AB1B8C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, high background signals are observed for Nb-</w:t>
      </w:r>
      <w:proofErr w:type="spellStart"/>
      <w:r w:rsidR="00AB1B8C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DyeB</w:t>
      </w:r>
      <w:proofErr w:type="spellEnd"/>
      <w:r w:rsidR="00AB1B8C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, both on ventral and dorsal surfaces. This leads to low tumor contrast for this tracer, unlike the other two tracers</w:t>
      </w:r>
      <w:r w:rsidR="00807B3E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 for which the tumor is clearly discernable from surrounding tissues</w:t>
      </w:r>
      <w:r w:rsidR="00AB1B8C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. Moreover, the</w:t>
      </w:r>
      <w:r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 faint liver signal on the ventral images </w:t>
      </w:r>
      <w:r w:rsidR="00807B3E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of Nb-</w:t>
      </w:r>
      <w:proofErr w:type="spellStart"/>
      <w:r w:rsidR="00807B3E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DyeB</w:t>
      </w:r>
      <w:proofErr w:type="spellEnd"/>
      <w:r w:rsidR="00807B3E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 </w:t>
      </w:r>
      <w:r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implies partial hepatic metabolism. </w:t>
      </w:r>
      <w:r w:rsidR="00AE2201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The results </w:t>
      </w:r>
      <w:r w:rsidR="00D11DEF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for Nb-</w:t>
      </w:r>
      <w:proofErr w:type="spellStart"/>
      <w:r w:rsidR="00D11DEF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DyeB</w:t>
      </w:r>
      <w:proofErr w:type="spellEnd"/>
      <w:r w:rsidR="00D11DEF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 </w:t>
      </w:r>
      <w:r w:rsidR="00AE2201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are </w:t>
      </w:r>
      <w:r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explained by </w:t>
      </w:r>
      <w:r w:rsidR="00D11DEF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the slow</w:t>
      </w:r>
      <w:r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 clearance from the circulation due to </w:t>
      </w:r>
      <w:r w:rsidR="00D11DEF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the </w:t>
      </w:r>
      <w:r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binding </w:t>
      </w:r>
      <w:r w:rsidR="00D11DEF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of this tracer </w:t>
      </w:r>
      <w:r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to </w:t>
      </w:r>
      <w:r w:rsidR="00D11DEF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serum proteins as confirmed in Figure 2. This </w:t>
      </w:r>
      <w:r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also contribute</w:t>
      </w:r>
      <w:r w:rsidR="00D11DEF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s</w:t>
      </w:r>
      <w:r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 to </w:t>
      </w:r>
      <w:r w:rsidR="00D11DEF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>higher</w:t>
      </w:r>
      <w:r w:rsidRPr="002D0567">
        <w:rPr>
          <w:rFonts w:ascii="Verdana" w:eastAsiaTheme="minorHAnsi" w:hAnsi="Verdana" w:cstheme="minorBidi"/>
          <w:snapToGrid/>
          <w:color w:val="auto"/>
          <w:sz w:val="24"/>
          <w:szCs w:val="24"/>
          <w:lang w:eastAsia="en-US" w:bidi="ar-SA"/>
        </w:rPr>
        <w:t xml:space="preserve"> liver accumulation. </w:t>
      </w:r>
    </w:p>
    <w:p w14:paraId="47D49A8A" w14:textId="77777777" w:rsidR="004F6AA8" w:rsidRDefault="004F6AA8" w:rsidP="00827248">
      <w:pPr>
        <w:jc w:val="both"/>
        <w:rPr>
          <w:rFonts w:ascii="Verdana" w:hAnsi="Verdana"/>
          <w:lang w:val="en-US"/>
        </w:rPr>
      </w:pPr>
    </w:p>
    <w:p w14:paraId="79E6C764" w14:textId="257C40A4" w:rsidR="00827248" w:rsidRDefault="00827248" w:rsidP="00827248">
      <w:pPr>
        <w:jc w:val="both"/>
        <w:rPr>
          <w:rFonts w:ascii="Verdana" w:hAnsi="Verdana"/>
          <w:lang w:val="en-US"/>
        </w:rPr>
      </w:pPr>
    </w:p>
    <w:p w14:paraId="2AC88A0D" w14:textId="7EB19AE2" w:rsidR="00827248" w:rsidRPr="00827248" w:rsidRDefault="00AE2201" w:rsidP="00827248">
      <w:pPr>
        <w:jc w:val="both"/>
        <w:rPr>
          <w:rFonts w:ascii="Verdana" w:hAnsi="Verdana"/>
          <w:lang w:val="en-US"/>
        </w:rPr>
      </w:pPr>
      <w:r w:rsidRPr="00AE2201">
        <w:rPr>
          <w:rFonts w:ascii="Verdana" w:hAnsi="Verdana"/>
          <w:lang w:val="en-US"/>
        </w:rPr>
        <w:drawing>
          <wp:anchor distT="0" distB="0" distL="114300" distR="114300" simplePos="0" relativeHeight="251658240" behindDoc="0" locked="0" layoutInCell="1" allowOverlap="1" wp14:anchorId="65836207" wp14:editId="40D8A6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7633" cy="2581835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633" cy="25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 xml:space="preserve">Figure 1: </w:t>
      </w:r>
      <w:r w:rsidR="00807B3E">
        <w:rPr>
          <w:rFonts w:ascii="Verdana" w:hAnsi="Verdana"/>
          <w:lang w:val="en-US"/>
        </w:rPr>
        <w:t>In vivo 2D fluorescent images of the ventral and dorsal side of mice, depicting the biodistribution profile of Nb-</w:t>
      </w:r>
      <w:proofErr w:type="spellStart"/>
      <w:r w:rsidR="00807B3E">
        <w:rPr>
          <w:rFonts w:ascii="Verdana" w:hAnsi="Verdana"/>
          <w:lang w:val="en-US"/>
        </w:rPr>
        <w:t>DyeA</w:t>
      </w:r>
      <w:proofErr w:type="spellEnd"/>
      <w:r w:rsidR="00807B3E">
        <w:rPr>
          <w:rFonts w:ascii="Verdana" w:hAnsi="Verdana"/>
          <w:lang w:val="en-US"/>
        </w:rPr>
        <w:t xml:space="preserve">, -B and -C, 1h post-intravenous injection. Fluorescent signals are color-coded and overlayed on black- and white brightfield images of the animal’s anatomy. Subcutaneous tumors are indicated with a white arrow. </w:t>
      </w:r>
    </w:p>
    <w:p w14:paraId="6A68F786" w14:textId="57ECC5C4" w:rsidR="00827248" w:rsidRPr="00827248" w:rsidRDefault="00827248" w:rsidP="00827248">
      <w:pPr>
        <w:jc w:val="both"/>
        <w:rPr>
          <w:rFonts w:ascii="Verdana" w:hAnsi="Verdana"/>
          <w:lang w:val="en-US"/>
        </w:rPr>
      </w:pPr>
    </w:p>
    <w:p w14:paraId="316BD43C" w14:textId="1752BE91" w:rsidR="00827248" w:rsidRDefault="00827248" w:rsidP="00B94A43">
      <w:pPr>
        <w:rPr>
          <w:rFonts w:ascii="Verdana" w:hAnsi="Verdana"/>
          <w:b/>
          <w:bCs/>
          <w:lang w:val="en-US"/>
        </w:rPr>
      </w:pPr>
      <w:r w:rsidRPr="00827248">
        <w:rPr>
          <w:rFonts w:ascii="Verdana" w:hAnsi="Verdana"/>
          <w:b/>
          <w:bCs/>
          <w:lang w:val="en-US"/>
        </w:rPr>
        <w:lastRenderedPageBreak/>
        <w:drawing>
          <wp:inline distT="0" distB="0" distL="0" distR="0" wp14:anchorId="19E0C557" wp14:editId="2F9214F6">
            <wp:extent cx="5727700" cy="143764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56DC8" w14:textId="65A6DC68" w:rsidR="00D11DEF" w:rsidRPr="00D11DEF" w:rsidRDefault="00D11DEF" w:rsidP="009B44CA">
      <w:pPr>
        <w:jc w:val="both"/>
        <w:rPr>
          <w:rFonts w:ascii="Verdana" w:hAnsi="Verdana"/>
          <w:lang w:val="en-US"/>
        </w:rPr>
      </w:pPr>
      <w:r w:rsidRPr="00D11DEF">
        <w:rPr>
          <w:rFonts w:ascii="Verdana" w:hAnsi="Verdana"/>
          <w:lang w:val="en-US"/>
        </w:rPr>
        <w:t xml:space="preserve">Figure 2: </w:t>
      </w:r>
      <w:r w:rsidR="007C01C2">
        <w:rPr>
          <w:rFonts w:ascii="Verdana" w:hAnsi="Verdana"/>
          <w:lang w:val="en-US"/>
        </w:rPr>
        <w:t>Size-exclusion chromatography profile of Nb-</w:t>
      </w:r>
      <w:proofErr w:type="spellStart"/>
      <w:r>
        <w:rPr>
          <w:rFonts w:ascii="Verdana" w:hAnsi="Verdana"/>
          <w:lang w:val="en-US"/>
        </w:rPr>
        <w:t>DyeA</w:t>
      </w:r>
      <w:proofErr w:type="spellEnd"/>
      <w:r>
        <w:rPr>
          <w:rFonts w:ascii="Verdana" w:hAnsi="Verdana"/>
          <w:lang w:val="en-US"/>
        </w:rPr>
        <w:t>, -B and -C</w:t>
      </w:r>
      <w:r w:rsidR="007C01C2">
        <w:rPr>
          <w:rFonts w:ascii="Verdana" w:hAnsi="Verdana"/>
          <w:lang w:val="en-US"/>
        </w:rPr>
        <w:t xml:space="preserve"> following incubation with serum proteins. Fluorescent signal is represented by the pink line, absorbance of the serum proteins at 280 nm is shown as a blue line. Nb-Dye A and -C elute as a single peak at the expected retention time. Contrarily, Nb-</w:t>
      </w:r>
      <w:proofErr w:type="spellStart"/>
      <w:r w:rsidR="007C01C2">
        <w:rPr>
          <w:rFonts w:ascii="Verdana" w:hAnsi="Verdana"/>
          <w:lang w:val="en-US"/>
        </w:rPr>
        <w:t>DyeB</w:t>
      </w:r>
      <w:proofErr w:type="spellEnd"/>
      <w:r w:rsidR="007C01C2">
        <w:rPr>
          <w:rFonts w:ascii="Verdana" w:hAnsi="Verdana"/>
          <w:lang w:val="en-US"/>
        </w:rPr>
        <w:t xml:space="preserve"> </w:t>
      </w:r>
      <w:r w:rsidR="009B44CA">
        <w:rPr>
          <w:rFonts w:ascii="Verdana" w:hAnsi="Verdana"/>
          <w:lang w:val="en-US"/>
        </w:rPr>
        <w:t xml:space="preserve">exhibits a partial left-shift, overlapping with the signal of the serum proteins. </w:t>
      </w:r>
    </w:p>
    <w:p w14:paraId="4819671E" w14:textId="1195C7A3" w:rsidR="00321087" w:rsidRDefault="00321087" w:rsidP="009B44CA">
      <w:pPr>
        <w:jc w:val="both"/>
        <w:rPr>
          <w:rFonts w:ascii="Verdana" w:hAnsi="Verdana"/>
          <w:b/>
          <w:bCs/>
          <w:lang w:val="en-US"/>
        </w:rPr>
      </w:pPr>
    </w:p>
    <w:p w14:paraId="3A18749C" w14:textId="04AB06B1" w:rsidR="00321087" w:rsidRDefault="00321087" w:rsidP="009B44CA">
      <w:pPr>
        <w:jc w:val="both"/>
        <w:rPr>
          <w:rFonts w:ascii="Verdana" w:hAnsi="Verdana"/>
          <w:b/>
          <w:bCs/>
          <w:lang w:val="en-US"/>
        </w:rPr>
      </w:pPr>
    </w:p>
    <w:p w14:paraId="769F5BDF" w14:textId="5A946D53" w:rsidR="00321087" w:rsidRDefault="00321087" w:rsidP="00B94A43">
      <w:pPr>
        <w:rPr>
          <w:rFonts w:ascii="Verdana" w:hAnsi="Verdana"/>
          <w:b/>
          <w:bCs/>
          <w:lang w:val="en-US"/>
        </w:rPr>
      </w:pPr>
    </w:p>
    <w:p w14:paraId="0B32F7FA" w14:textId="090F4652" w:rsidR="00321087" w:rsidRDefault="00321087" w:rsidP="00B94A43">
      <w:pPr>
        <w:rPr>
          <w:rFonts w:ascii="Verdana" w:hAnsi="Verdana"/>
          <w:b/>
          <w:bCs/>
          <w:lang w:val="en-US"/>
        </w:rPr>
      </w:pPr>
    </w:p>
    <w:p w14:paraId="78FF0F48" w14:textId="77777777" w:rsidR="00827248" w:rsidRPr="00B94A43" w:rsidRDefault="00827248" w:rsidP="00B94A43">
      <w:pPr>
        <w:rPr>
          <w:lang w:val="en-US"/>
        </w:rPr>
      </w:pPr>
    </w:p>
    <w:sectPr w:rsidR="00827248" w:rsidRPr="00B94A43" w:rsidSect="00F50D57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377A"/>
    <w:multiLevelType w:val="hybridMultilevel"/>
    <w:tmpl w:val="7CFA18CC"/>
    <w:lvl w:ilvl="0" w:tplc="EE76C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D0AAA"/>
    <w:multiLevelType w:val="hybridMultilevel"/>
    <w:tmpl w:val="E918FE84"/>
    <w:lvl w:ilvl="0" w:tplc="75269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D4F9C"/>
    <w:multiLevelType w:val="hybridMultilevel"/>
    <w:tmpl w:val="9A0C4578"/>
    <w:lvl w:ilvl="0" w:tplc="1522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97474"/>
    <w:multiLevelType w:val="hybridMultilevel"/>
    <w:tmpl w:val="2DF0B32E"/>
    <w:lvl w:ilvl="0" w:tplc="C04E1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862722">
    <w:abstractNumId w:val="1"/>
  </w:num>
  <w:num w:numId="2" w16cid:durableId="768310672">
    <w:abstractNumId w:val="3"/>
  </w:num>
  <w:num w:numId="3" w16cid:durableId="2140956114">
    <w:abstractNumId w:val="0"/>
  </w:num>
  <w:num w:numId="4" w16cid:durableId="1494107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3C"/>
    <w:rsid w:val="00011D49"/>
    <w:rsid w:val="00011EDC"/>
    <w:rsid w:val="00023CAB"/>
    <w:rsid w:val="0002586D"/>
    <w:rsid w:val="00040EFD"/>
    <w:rsid w:val="0005358A"/>
    <w:rsid w:val="00056B87"/>
    <w:rsid w:val="00076D26"/>
    <w:rsid w:val="000A392E"/>
    <w:rsid w:val="000C328A"/>
    <w:rsid w:val="000D0904"/>
    <w:rsid w:val="000D09F0"/>
    <w:rsid w:val="000D79D7"/>
    <w:rsid w:val="000E0442"/>
    <w:rsid w:val="000F5CBE"/>
    <w:rsid w:val="000F5D9B"/>
    <w:rsid w:val="00104CB0"/>
    <w:rsid w:val="00130618"/>
    <w:rsid w:val="00135049"/>
    <w:rsid w:val="00151BB5"/>
    <w:rsid w:val="00152492"/>
    <w:rsid w:val="001642F2"/>
    <w:rsid w:val="00165D87"/>
    <w:rsid w:val="00176843"/>
    <w:rsid w:val="001854DA"/>
    <w:rsid w:val="001C3490"/>
    <w:rsid w:val="001D0A73"/>
    <w:rsid w:val="00242091"/>
    <w:rsid w:val="002423BB"/>
    <w:rsid w:val="002A0758"/>
    <w:rsid w:val="002D0567"/>
    <w:rsid w:val="002E6F1C"/>
    <w:rsid w:val="00316170"/>
    <w:rsid w:val="00321087"/>
    <w:rsid w:val="003730CD"/>
    <w:rsid w:val="00373BC9"/>
    <w:rsid w:val="003D2140"/>
    <w:rsid w:val="00415F20"/>
    <w:rsid w:val="00453A45"/>
    <w:rsid w:val="004760E2"/>
    <w:rsid w:val="00477C1D"/>
    <w:rsid w:val="00496354"/>
    <w:rsid w:val="004A3013"/>
    <w:rsid w:val="004C1A64"/>
    <w:rsid w:val="004E148A"/>
    <w:rsid w:val="004F0AEA"/>
    <w:rsid w:val="004F6AA8"/>
    <w:rsid w:val="00511EF9"/>
    <w:rsid w:val="005126F2"/>
    <w:rsid w:val="0052084B"/>
    <w:rsid w:val="00536B55"/>
    <w:rsid w:val="0054243C"/>
    <w:rsid w:val="00553DD2"/>
    <w:rsid w:val="00590149"/>
    <w:rsid w:val="005D14E1"/>
    <w:rsid w:val="005D36A3"/>
    <w:rsid w:val="005E1A8E"/>
    <w:rsid w:val="005F3DE5"/>
    <w:rsid w:val="00605D0E"/>
    <w:rsid w:val="00620A7C"/>
    <w:rsid w:val="00685128"/>
    <w:rsid w:val="00690D21"/>
    <w:rsid w:val="006A77B5"/>
    <w:rsid w:val="006B4B90"/>
    <w:rsid w:val="006E084E"/>
    <w:rsid w:val="00700B7A"/>
    <w:rsid w:val="007030CF"/>
    <w:rsid w:val="0071046F"/>
    <w:rsid w:val="00715518"/>
    <w:rsid w:val="00736D96"/>
    <w:rsid w:val="00745EB2"/>
    <w:rsid w:val="00752AE7"/>
    <w:rsid w:val="00756254"/>
    <w:rsid w:val="007831EC"/>
    <w:rsid w:val="007955C1"/>
    <w:rsid w:val="007C014E"/>
    <w:rsid w:val="007C01C2"/>
    <w:rsid w:val="007E033C"/>
    <w:rsid w:val="007E0C8D"/>
    <w:rsid w:val="007F53EC"/>
    <w:rsid w:val="0080183F"/>
    <w:rsid w:val="00807B3E"/>
    <w:rsid w:val="00827248"/>
    <w:rsid w:val="00832BD2"/>
    <w:rsid w:val="00835074"/>
    <w:rsid w:val="00836DD3"/>
    <w:rsid w:val="00853AF5"/>
    <w:rsid w:val="00854CE4"/>
    <w:rsid w:val="008715DB"/>
    <w:rsid w:val="00880BAB"/>
    <w:rsid w:val="00882E83"/>
    <w:rsid w:val="008965E7"/>
    <w:rsid w:val="008D11A9"/>
    <w:rsid w:val="008D1939"/>
    <w:rsid w:val="008E5669"/>
    <w:rsid w:val="00921D5D"/>
    <w:rsid w:val="00974AE6"/>
    <w:rsid w:val="009B44CA"/>
    <w:rsid w:val="009D4D73"/>
    <w:rsid w:val="00A06C3A"/>
    <w:rsid w:val="00A21312"/>
    <w:rsid w:val="00A23F63"/>
    <w:rsid w:val="00A90F9D"/>
    <w:rsid w:val="00AB1B8C"/>
    <w:rsid w:val="00AB36F7"/>
    <w:rsid w:val="00AD1171"/>
    <w:rsid w:val="00AD1773"/>
    <w:rsid w:val="00AD29DC"/>
    <w:rsid w:val="00AE2201"/>
    <w:rsid w:val="00AF4362"/>
    <w:rsid w:val="00B120A6"/>
    <w:rsid w:val="00B13FBF"/>
    <w:rsid w:val="00B27F83"/>
    <w:rsid w:val="00B35F66"/>
    <w:rsid w:val="00B6211A"/>
    <w:rsid w:val="00B74446"/>
    <w:rsid w:val="00B80021"/>
    <w:rsid w:val="00B8482F"/>
    <w:rsid w:val="00B93001"/>
    <w:rsid w:val="00B94A43"/>
    <w:rsid w:val="00BA16A3"/>
    <w:rsid w:val="00BE69BD"/>
    <w:rsid w:val="00C17B78"/>
    <w:rsid w:val="00C349FF"/>
    <w:rsid w:val="00C44459"/>
    <w:rsid w:val="00C6021D"/>
    <w:rsid w:val="00C67792"/>
    <w:rsid w:val="00C93F94"/>
    <w:rsid w:val="00CC0963"/>
    <w:rsid w:val="00CC0C07"/>
    <w:rsid w:val="00CC75E0"/>
    <w:rsid w:val="00D0497B"/>
    <w:rsid w:val="00D058F1"/>
    <w:rsid w:val="00D104BC"/>
    <w:rsid w:val="00D11DEF"/>
    <w:rsid w:val="00D11FAF"/>
    <w:rsid w:val="00D13B72"/>
    <w:rsid w:val="00D17A54"/>
    <w:rsid w:val="00D42436"/>
    <w:rsid w:val="00D75DBF"/>
    <w:rsid w:val="00DB2D77"/>
    <w:rsid w:val="00DB7FEE"/>
    <w:rsid w:val="00DC094D"/>
    <w:rsid w:val="00E20ECA"/>
    <w:rsid w:val="00E30B2A"/>
    <w:rsid w:val="00E36E4C"/>
    <w:rsid w:val="00E50B93"/>
    <w:rsid w:val="00E832BF"/>
    <w:rsid w:val="00E9050A"/>
    <w:rsid w:val="00E962EB"/>
    <w:rsid w:val="00EA2610"/>
    <w:rsid w:val="00EC304F"/>
    <w:rsid w:val="00ED024C"/>
    <w:rsid w:val="00EE5F7A"/>
    <w:rsid w:val="00F052DD"/>
    <w:rsid w:val="00F055D2"/>
    <w:rsid w:val="00F27A94"/>
    <w:rsid w:val="00F27EE8"/>
    <w:rsid w:val="00F34BFB"/>
    <w:rsid w:val="00F3641F"/>
    <w:rsid w:val="00F50A79"/>
    <w:rsid w:val="00F50D57"/>
    <w:rsid w:val="00F7614B"/>
    <w:rsid w:val="00F945F3"/>
    <w:rsid w:val="00FA0832"/>
    <w:rsid w:val="00FA4DCA"/>
    <w:rsid w:val="00FD23C3"/>
    <w:rsid w:val="00FE1D71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0D8A61"/>
  <w15:chartTrackingRefBased/>
  <w15:docId w15:val="{EF547449-1360-7C47-9314-E5147577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CE4"/>
    <w:pPr>
      <w:ind w:left="720"/>
      <w:contextualSpacing/>
    </w:pPr>
  </w:style>
  <w:style w:type="table" w:styleId="TableGrid">
    <w:name w:val="Table Grid"/>
    <w:basedOn w:val="TableNormal"/>
    <w:uiPriority w:val="39"/>
    <w:rsid w:val="00AD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autoRedefine/>
    <w:qFormat/>
    <w:rsid w:val="004F6AA8"/>
    <w:p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HERNOT</dc:creator>
  <cp:keywords/>
  <dc:description/>
  <cp:lastModifiedBy>Sophie HERNOT</cp:lastModifiedBy>
  <cp:revision>1</cp:revision>
  <dcterms:created xsi:type="dcterms:W3CDTF">2022-07-20T08:11:00Z</dcterms:created>
  <dcterms:modified xsi:type="dcterms:W3CDTF">2022-07-28T10:29:00Z</dcterms:modified>
</cp:coreProperties>
</file>